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19" w:rsidRDefault="000B101F" w:rsidP="00FA5090">
      <w:pPr>
        <w:jc w:val="center"/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</w:pPr>
      <w:bookmarkStart w:id="0" w:name="_GoBack"/>
      <w:bookmarkEnd w:id="0"/>
      <w:r>
        <w:rPr>
          <w:rFonts w:eastAsiaTheme="majorEastAsia" w:cstheme="minorHAnsi"/>
          <w:b/>
          <w:bCs/>
          <w:color w:val="0D0D0D" w:themeColor="text1" w:themeTint="F2"/>
          <w:kern w:val="24"/>
          <w:sz w:val="24"/>
          <w:szCs w:val="24"/>
          <w:lang w:val="en-US"/>
        </w:rPr>
        <w:t>Long-term follow up of h</w:t>
      </w:r>
      <w:r w:rsidR="00FA5090" w:rsidRPr="00FA5090">
        <w:rPr>
          <w:rFonts w:eastAsiaTheme="majorEastAsia" w:cstheme="minorHAnsi"/>
          <w:b/>
          <w:bCs/>
          <w:color w:val="0D0D0D" w:themeColor="text1" w:themeTint="F2"/>
          <w:kern w:val="24"/>
          <w:sz w:val="24"/>
          <w:szCs w:val="24"/>
          <w:lang w:val="en-US"/>
        </w:rPr>
        <w:t>igh-risk lesions</w:t>
      </w:r>
      <w:r w:rsidR="00FA5090">
        <w:rPr>
          <w:rFonts w:eastAsiaTheme="majorEastAsia" w:cstheme="minorHAnsi"/>
          <w:b/>
          <w:bCs/>
          <w:color w:val="0D0D0D" w:themeColor="text1" w:themeTint="F2"/>
          <w:kern w:val="24"/>
          <w:sz w:val="24"/>
          <w:szCs w:val="24"/>
          <w:lang w:val="en-US"/>
        </w:rPr>
        <w:t xml:space="preserve"> (B3-L</w:t>
      </w:r>
      <w:r>
        <w:rPr>
          <w:rFonts w:eastAsiaTheme="majorEastAsia" w:cstheme="minorHAnsi"/>
          <w:b/>
          <w:bCs/>
          <w:color w:val="0D0D0D" w:themeColor="text1" w:themeTint="F2"/>
          <w:kern w:val="24"/>
          <w:sz w:val="24"/>
          <w:szCs w:val="24"/>
          <w:lang w:val="en-US"/>
        </w:rPr>
        <w:t>l</w:t>
      </w:r>
      <w:r w:rsidR="00FA5090">
        <w:rPr>
          <w:rFonts w:eastAsiaTheme="majorEastAsia" w:cstheme="minorHAnsi"/>
          <w:b/>
          <w:bCs/>
          <w:color w:val="0D0D0D" w:themeColor="text1" w:themeTint="F2"/>
          <w:kern w:val="24"/>
          <w:sz w:val="24"/>
          <w:szCs w:val="24"/>
          <w:lang w:val="en-US"/>
        </w:rPr>
        <w:t>sions)</w:t>
      </w:r>
      <w:r w:rsidR="00FA5090" w:rsidRPr="00FA5090">
        <w:rPr>
          <w:rFonts w:eastAsiaTheme="majorEastAsia" w:cstheme="minorHAnsi"/>
          <w:b/>
          <w:bCs/>
          <w:color w:val="0D0D0D" w:themeColor="text1" w:themeTint="F2"/>
          <w:kern w:val="24"/>
          <w:sz w:val="24"/>
          <w:szCs w:val="24"/>
          <w:lang w:val="en-US"/>
        </w:rPr>
        <w:t xml:space="preserve"> with no surgical resection</w:t>
      </w:r>
      <w:r w:rsidR="00FA5090" w:rsidRPr="00FA5090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br/>
        <w:t>Update from the MIBB Database</w:t>
      </w:r>
    </w:p>
    <w:p w:rsidR="00FA5090" w:rsidRDefault="00FA5090" w:rsidP="00FA5090">
      <w:pPr>
        <w:jc w:val="center"/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</w:pPr>
    </w:p>
    <w:p w:rsidR="00FA5090" w:rsidRPr="00FA5090" w:rsidRDefault="00FA5090" w:rsidP="00FA5090">
      <w:pPr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</w:pPr>
      <w:r w:rsidRPr="00FA5090">
        <w:rPr>
          <w:rFonts w:eastAsiaTheme="majorEastAsia" w:cstheme="minorHAnsi"/>
          <w:b/>
          <w:color w:val="0D0D0D" w:themeColor="text1" w:themeTint="F2"/>
          <w:kern w:val="24"/>
          <w:sz w:val="24"/>
          <w:szCs w:val="24"/>
          <w:lang w:val="en-US"/>
        </w:rPr>
        <w:t>Aim</w:t>
      </w:r>
      <w:r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br/>
      </w:r>
      <w:r w:rsidRPr="00FA5090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Purpose of this study was to analyze the long-term outcome of patients who received the diagnosis of high-risk lesions (B3 lesions) at imaging-guided vacuum biopsy. Upgrade rates of high-lesions to malignant lesions and the detection of new malignancies or high-risk lesions during follow was determined. Aim was to prove whether follow-up of high-risk lesions is a save management approach with an acceptable upgrade-rate during follow up and an alternative to surgical resection of high-risk lesions. Long-term goal is to adapt current national (and international) management guidelines of high-risk lesions based on our results. </w:t>
      </w:r>
    </w:p>
    <w:p w:rsidR="00C54C6F" w:rsidRPr="009A4F19" w:rsidRDefault="00C54C6F" w:rsidP="00FA5090">
      <w:pPr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</w:pPr>
      <w:r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>Secondary aim is to identify</w:t>
      </w:r>
      <w:r w:rsidRPr="00C54C6F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 special patient-groups or special lesions groups of high-risk lesions </w:t>
      </w:r>
      <w:r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>who</w:t>
      </w:r>
      <w:r w:rsidRPr="00C54C6F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 benefit most from follow up instead of excision.</w:t>
      </w:r>
      <w:r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 </w:t>
      </w:r>
      <w:r w:rsidR="00684EE5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Here </w:t>
      </w:r>
      <w:r w:rsidR="00FA5090" w:rsidRPr="00FA5090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aim is to define patient groups or lesion groups in that surgical excision </w:t>
      </w:r>
      <w:proofErr w:type="gramStart"/>
      <w:r w:rsidR="00FA5090" w:rsidRPr="00FA5090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>is still recommended</w:t>
      </w:r>
      <w:proofErr w:type="gramEnd"/>
      <w:r w:rsidR="000B101F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 due to an inacceptable high upgrade-</w:t>
      </w:r>
      <w:r w:rsidR="00FA5090" w:rsidRPr="00FA5090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>rate during follow up.</w:t>
      </w:r>
      <w:r w:rsidR="009A4F19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br/>
      </w:r>
    </w:p>
    <w:p w:rsidR="00FA5090" w:rsidRPr="008720B0" w:rsidRDefault="00FA5090" w:rsidP="00FA5090">
      <w:pPr>
        <w:rPr>
          <w:rFonts w:eastAsiaTheme="majorEastAsia" w:cstheme="minorHAnsi"/>
          <w:b/>
          <w:color w:val="0D0D0D" w:themeColor="text1" w:themeTint="F2"/>
          <w:kern w:val="24"/>
          <w:sz w:val="24"/>
          <w:szCs w:val="24"/>
          <w:lang w:val="en-US"/>
        </w:rPr>
      </w:pPr>
      <w:r w:rsidRPr="008720B0">
        <w:rPr>
          <w:rFonts w:eastAsiaTheme="majorEastAsia" w:cstheme="minorHAnsi"/>
          <w:b/>
          <w:color w:val="0D0D0D" w:themeColor="text1" w:themeTint="F2"/>
          <w:kern w:val="24"/>
          <w:sz w:val="24"/>
          <w:szCs w:val="24"/>
          <w:lang w:val="en-US"/>
        </w:rPr>
        <w:t>Material and Methods</w:t>
      </w:r>
    </w:p>
    <w:p w:rsidR="00243533" w:rsidRDefault="008720B0" w:rsidP="00601331">
      <w:pPr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</w:pPr>
      <w:r w:rsidRPr="008720B0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>As part of the Society of minimal invasive breas</w:t>
      </w:r>
      <w:r w:rsidR="00684EE5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t biopsy (MIBB) in </w:t>
      </w:r>
      <w:proofErr w:type="gramStart"/>
      <w:r w:rsidR="00684EE5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>Switzerland</w:t>
      </w:r>
      <w:proofErr w:type="gramEnd"/>
      <w:r w:rsidR="00684EE5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 </w:t>
      </w:r>
      <w:r w:rsidRPr="008720B0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>a systematic database of all performed breast biopsies in</w:t>
      </w:r>
      <w:r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 Switzerland was established. </w:t>
      </w:r>
      <w:r w:rsidRPr="008720B0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Based on our </w:t>
      </w:r>
      <w:r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and international </w:t>
      </w:r>
      <w:r w:rsidRPr="008720B0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initial experiences </w:t>
      </w:r>
      <w:r w:rsidR="00684EE5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on the benefit of high-risk </w:t>
      </w:r>
      <w:r w:rsidRPr="008720B0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lesions </w:t>
      </w:r>
      <w:r w:rsidR="00F97EB3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follow-up </w:t>
      </w:r>
      <w:r w:rsidRPr="008720B0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instead of open surgery, </w:t>
      </w:r>
      <w:r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follow-up </w:t>
      </w:r>
      <w:r w:rsidRPr="008720B0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was performed increasingly common at many Swiss breast </w:t>
      </w:r>
      <w:r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>centers in</w:t>
      </w:r>
      <w:r w:rsidR="00684EE5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 women with the diagnosis of high-risk </w:t>
      </w:r>
      <w:r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>lesions</w:t>
      </w:r>
      <w:r w:rsidR="00684EE5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 during the last years. </w:t>
      </w:r>
    </w:p>
    <w:p w:rsidR="007718EB" w:rsidRDefault="00C54C6F" w:rsidP="00601331">
      <w:pPr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</w:pPr>
      <w:r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Data from 378 women with the diagnosis of high-risk lesions </w:t>
      </w:r>
      <w:proofErr w:type="gramStart"/>
      <w:r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>were entered</w:t>
      </w:r>
      <w:proofErr w:type="gramEnd"/>
      <w:r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 in the MIBB-database. </w:t>
      </w:r>
      <w:proofErr w:type="gramStart"/>
      <w:r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>278</w:t>
      </w:r>
      <w:proofErr w:type="gramEnd"/>
      <w:r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 patients with 286 high-lesions were included in the final </w:t>
      </w:r>
      <w:r w:rsidR="00847076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study </w:t>
      </w:r>
      <w:r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analysis, after exclusion of women who did not met the inclusion criteria. </w:t>
      </w:r>
      <w:r w:rsidR="00243533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All patients underwent a follow-up either with performing breast imaging or with a personal interview. More than 85% of all study participants underwent a follow-up time interval of at least 3 years with a mean follow-up interval among of women of </w:t>
      </w:r>
      <w:r w:rsidR="00243533" w:rsidRPr="00243533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>58.9 / 24.3</w:t>
      </w:r>
      <w:r w:rsidR="00243533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 months (about 5 years).</w:t>
      </w:r>
      <w:r w:rsidR="00243533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br/>
      </w:r>
      <w:r w:rsidR="00601331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br/>
      </w:r>
      <w:proofErr w:type="gramStart"/>
      <w:r w:rsidR="00601331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>The following data were analyzed: Demographic data, t</w:t>
      </w:r>
      <w:r w:rsidR="00601331" w:rsidRPr="00601331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>yp</w:t>
      </w:r>
      <w:r w:rsidR="00601331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>e of high-risk lesion at biopsy, t</w:t>
      </w:r>
      <w:r w:rsidR="00601331" w:rsidRPr="00601331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ime interval of follow up </w:t>
      </w:r>
      <w:r w:rsidR="00601331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at </w:t>
      </w:r>
      <w:r w:rsidR="00601331" w:rsidRPr="00601331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>(</w:t>
      </w:r>
      <w:r w:rsidR="00601331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>&gt; 12 months), r</w:t>
      </w:r>
      <w:r w:rsidR="00601331" w:rsidRPr="00601331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eason </w:t>
      </w:r>
      <w:r w:rsidR="00601331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>for not performing open surgery, e</w:t>
      </w:r>
      <w:r w:rsidR="00601331" w:rsidRPr="00601331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>vent during follow up (high-risk lesion or malignancy at biopsy site or other breast region</w:t>
      </w:r>
      <w:r w:rsidR="006B6DA4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) </w:t>
      </w:r>
      <w:r w:rsidR="00601331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>and histological details of the initial high-risk lesion and the histology of any occurred pathologic lesion during follow up.</w:t>
      </w:r>
      <w:proofErr w:type="gramEnd"/>
      <w:r w:rsidR="00601331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 </w:t>
      </w:r>
      <w:r w:rsidR="009A4F19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br/>
      </w:r>
    </w:p>
    <w:p w:rsidR="00FA5090" w:rsidRPr="007718EB" w:rsidRDefault="00FA5090" w:rsidP="00FA5090">
      <w:pPr>
        <w:rPr>
          <w:rFonts w:eastAsiaTheme="majorEastAsia" w:cstheme="minorHAnsi"/>
          <w:b/>
          <w:color w:val="0D0D0D" w:themeColor="text1" w:themeTint="F2"/>
          <w:kern w:val="24"/>
          <w:sz w:val="24"/>
          <w:szCs w:val="24"/>
          <w:lang w:val="en-US"/>
        </w:rPr>
      </w:pPr>
      <w:r w:rsidRPr="007718EB">
        <w:rPr>
          <w:rFonts w:eastAsiaTheme="majorEastAsia" w:cstheme="minorHAnsi"/>
          <w:b/>
          <w:color w:val="0D0D0D" w:themeColor="text1" w:themeTint="F2"/>
          <w:kern w:val="24"/>
          <w:sz w:val="24"/>
          <w:szCs w:val="24"/>
          <w:lang w:val="en-US"/>
        </w:rPr>
        <w:t>Results</w:t>
      </w:r>
    </w:p>
    <w:p w:rsidR="00FA5090" w:rsidRDefault="00601331" w:rsidP="00FA5090">
      <w:pPr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</w:pPr>
      <w:r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>The 278 study patients showed demographic and clinical characteristics, which were representative for patients seen in most of the Swiss breast cancer</w:t>
      </w:r>
      <w:r w:rsidR="00847076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 in clinical routine</w:t>
      </w:r>
      <w:r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. </w:t>
      </w:r>
      <w:proofErr w:type="gramStart"/>
      <w:r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>So</w:t>
      </w:r>
      <w:proofErr w:type="gramEnd"/>
      <w:r w:rsidR="001440D4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>,</w:t>
      </w:r>
      <w:r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 patients were mainly postmenopausal, at average risk with an </w:t>
      </w:r>
      <w:r w:rsidR="009A4F19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mean age of </w:t>
      </w:r>
      <w:r w:rsidR="009A4F19" w:rsidRPr="009A4F19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>53.5 / ±10.7</w:t>
      </w:r>
      <w:r w:rsidR="009A4F19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 years at the time of initial diagnosis of high-risk lesions. Distribution of histological diagnosis were also equivalent with the distribution of the high-risk lesions in clinical practice, with ADH, FEA and LIN being the most frequent </w:t>
      </w:r>
      <w:r w:rsidR="00847076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>B3-</w:t>
      </w:r>
      <w:r w:rsidR="009A4F19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lesions. </w:t>
      </w:r>
    </w:p>
    <w:p w:rsidR="00FA5090" w:rsidRDefault="00847076" w:rsidP="00FA5090">
      <w:pPr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</w:pPr>
      <w:r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lastRenderedPageBreak/>
        <w:t>Among all</w:t>
      </w:r>
      <w:r w:rsidR="007550BA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 </w:t>
      </w:r>
      <w:proofErr w:type="gramStart"/>
      <w:r w:rsidR="007550BA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>study</w:t>
      </w:r>
      <w:proofErr w:type="gramEnd"/>
      <w:r w:rsidR="007550BA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 patients 15% (44/286) developed a relevant breast lesions during follow-up. Of those 57% (25/44) were B3 lesions and the remaining 43% (16/44) were malignant lesions (36% invasive cancers and 7% DCIS). </w:t>
      </w:r>
      <w:r w:rsidR="00CC5F1F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Which were 8.7% (25/286) high-risk lesions and 6.6% (19/286) malignant lesions in relation of all included lesions.  </w:t>
      </w:r>
    </w:p>
    <w:p w:rsidR="00112E3E" w:rsidRDefault="00112E3E" w:rsidP="00FA5090">
      <w:pPr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</w:pPr>
    </w:p>
    <w:p w:rsidR="00243533" w:rsidRDefault="00CC5F1F" w:rsidP="00FA5090">
      <w:pPr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</w:pPr>
      <w:r w:rsidRPr="007550BA">
        <w:rPr>
          <w:rFonts w:eastAsiaTheme="majorEastAsia" w:cstheme="minorHAnsi"/>
          <w:noProof/>
          <w:color w:val="0D0D0D" w:themeColor="text1" w:themeTint="F2"/>
          <w:kern w:val="24"/>
          <w:sz w:val="24"/>
          <w:szCs w:val="24"/>
          <w:lang w:eastAsia="de-DE"/>
        </w:rPr>
        <w:drawing>
          <wp:inline distT="0" distB="0" distL="0" distR="0" wp14:anchorId="34AF6144" wp14:editId="4733485E">
            <wp:extent cx="4988169" cy="2300540"/>
            <wp:effectExtent l="0" t="0" r="3175" b="5080"/>
            <wp:docPr id="2" name="Grafik 2" descr="C:\Users\Schrading\Desktop\Bild B3 ev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rading\Desktop\Bild B3 ev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451" cy="230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E3E" w:rsidRDefault="00112E3E" w:rsidP="00FA5090">
      <w:pPr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</w:pPr>
    </w:p>
    <w:p w:rsidR="00243533" w:rsidRDefault="00112E3E" w:rsidP="00FA5090">
      <w:pPr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</w:pPr>
      <w:r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Malignant lesions were in the majority minimal cancers (62%). </w:t>
      </w:r>
      <w:r w:rsidR="00847076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br/>
      </w:r>
      <w:r w:rsidR="006B6DA4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High-risk lesions or malignant lesions occurred in the vast majority of women after 5 years with a mean time interval of 67 months. </w:t>
      </w:r>
      <w:r w:rsidR="00847076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br/>
      </w:r>
      <w:r w:rsidR="00CC5F1F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The lesions with the highest upgrade rate during follow-up was ADH with an upgrading in </w:t>
      </w:r>
      <w:r w:rsidR="006B6DA4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>28% (7/25)</w:t>
      </w:r>
      <w:r w:rsidR="00847076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 lesions</w:t>
      </w:r>
      <w:r w:rsidR="006B6DA4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. Besides these patients with initial ADHs, no patient or lesions groups </w:t>
      </w:r>
      <w:proofErr w:type="gramStart"/>
      <w:r w:rsidR="006B6DA4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>could be identified</w:t>
      </w:r>
      <w:proofErr w:type="gramEnd"/>
      <w:r w:rsidR="006B6DA4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 in whom / which follow-up instead of surgical resection resulted in an unacceptable high upgrade rate during follow up. </w:t>
      </w:r>
    </w:p>
    <w:p w:rsidR="00CC5F1F" w:rsidRDefault="00CC5F1F" w:rsidP="00FA5090">
      <w:pPr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</w:pPr>
    </w:p>
    <w:p w:rsidR="00FA5090" w:rsidRDefault="00FA5090" w:rsidP="00FA5090">
      <w:pPr>
        <w:rPr>
          <w:rFonts w:eastAsiaTheme="majorEastAsia" w:cstheme="minorHAnsi"/>
          <w:b/>
          <w:color w:val="0D0D0D" w:themeColor="text1" w:themeTint="F2"/>
          <w:kern w:val="24"/>
          <w:sz w:val="24"/>
          <w:szCs w:val="24"/>
          <w:lang w:val="en-US"/>
        </w:rPr>
      </w:pPr>
      <w:r w:rsidRPr="005D15DC">
        <w:rPr>
          <w:rFonts w:eastAsiaTheme="majorEastAsia" w:cstheme="minorHAnsi"/>
          <w:b/>
          <w:color w:val="0D0D0D" w:themeColor="text1" w:themeTint="F2"/>
          <w:kern w:val="24"/>
          <w:sz w:val="24"/>
          <w:szCs w:val="24"/>
          <w:lang w:val="en-US"/>
        </w:rPr>
        <w:t xml:space="preserve">Conclusion and outlook </w:t>
      </w:r>
    </w:p>
    <w:p w:rsidR="00684EE5" w:rsidRPr="00684EE5" w:rsidRDefault="00684EE5" w:rsidP="00684EE5">
      <w:pPr>
        <w:pStyle w:val="Listenabsatz"/>
        <w:numPr>
          <w:ilvl w:val="0"/>
          <w:numId w:val="2"/>
        </w:numPr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</w:pPr>
      <w:r w:rsidRPr="00684EE5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>Follow up is a</w:t>
      </w:r>
      <w:r w:rsidR="00847076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>n</w:t>
      </w:r>
      <w:r w:rsidRPr="00684EE5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 acceptable management of high-risk lesions. Only in </w:t>
      </w:r>
      <w:proofErr w:type="gramStart"/>
      <w:r w:rsidRPr="00684EE5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>ADH</w:t>
      </w:r>
      <w:proofErr w:type="gramEnd"/>
      <w:r w:rsidRPr="00684EE5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 a resection should be considered, due to the higher malignancy rate during follow up.</w:t>
      </w:r>
    </w:p>
    <w:p w:rsidR="00684EE5" w:rsidRPr="00684EE5" w:rsidRDefault="00684EE5" w:rsidP="00684EE5">
      <w:pPr>
        <w:pStyle w:val="Listenabsatz"/>
        <w:numPr>
          <w:ilvl w:val="0"/>
          <w:numId w:val="2"/>
        </w:numPr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</w:pPr>
      <w:r w:rsidRPr="00684EE5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Need for </w:t>
      </w:r>
      <w:r w:rsidR="00582F6A" w:rsidRPr="00684EE5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>long-term</w:t>
      </w:r>
      <w:r w:rsidRPr="00684EE5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 follow up, as most events occurred &gt; 5 years after initial B3 diagnosis.</w:t>
      </w:r>
    </w:p>
    <w:p w:rsidR="00684EE5" w:rsidRDefault="00684EE5" w:rsidP="00684EE5">
      <w:pPr>
        <w:pStyle w:val="Listenabsatz"/>
        <w:numPr>
          <w:ilvl w:val="0"/>
          <w:numId w:val="2"/>
        </w:numPr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</w:pPr>
      <w:r w:rsidRPr="00684EE5"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With intensified diagnostic follow up concept, detection of follow up events in small cancer stages (minimal cancer) is possible in the majority of patients. </w:t>
      </w:r>
    </w:p>
    <w:p w:rsidR="00684EE5" w:rsidRDefault="00684EE5" w:rsidP="00684EE5">
      <w:pPr>
        <w:pStyle w:val="Listenabsatz"/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</w:pPr>
    </w:p>
    <w:p w:rsidR="00684EE5" w:rsidRDefault="00684EE5" w:rsidP="00684EE5">
      <w:pPr>
        <w:pStyle w:val="Listenabsatz"/>
        <w:numPr>
          <w:ilvl w:val="0"/>
          <w:numId w:val="2"/>
        </w:numPr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</w:pPr>
      <w:r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Additional study for direct comparison of women with high-risk lesions who underwent follow-up with those who underwent surgical resection. Evaluation of matched patients from the MIBB database. </w:t>
      </w:r>
    </w:p>
    <w:p w:rsidR="00684EE5" w:rsidRPr="00684EE5" w:rsidRDefault="00684EE5" w:rsidP="00684EE5">
      <w:pPr>
        <w:pStyle w:val="Listenabsatz"/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</w:pPr>
    </w:p>
    <w:p w:rsidR="00684EE5" w:rsidRDefault="00684EE5" w:rsidP="00684EE5">
      <w:pPr>
        <w:pStyle w:val="Listenabsatz"/>
        <w:numPr>
          <w:ilvl w:val="0"/>
          <w:numId w:val="2"/>
        </w:numPr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</w:pPr>
      <w:proofErr w:type="spellStart"/>
      <w:r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>Multicentric</w:t>
      </w:r>
      <w:proofErr w:type="spellEnd"/>
      <w:r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 study. </w:t>
      </w:r>
    </w:p>
    <w:p w:rsidR="00684EE5" w:rsidRPr="00684EE5" w:rsidRDefault="00684EE5" w:rsidP="00684EE5">
      <w:pPr>
        <w:pStyle w:val="Listenabsatz"/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</w:pPr>
    </w:p>
    <w:p w:rsidR="00684EE5" w:rsidRPr="00684EE5" w:rsidRDefault="00684EE5" w:rsidP="00684EE5">
      <w:pPr>
        <w:pStyle w:val="Listenabsatz"/>
        <w:numPr>
          <w:ilvl w:val="0"/>
          <w:numId w:val="2"/>
        </w:numPr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</w:pPr>
      <w:r>
        <w:rPr>
          <w:rFonts w:eastAsiaTheme="majorEastAsia" w:cstheme="minorHAnsi"/>
          <w:color w:val="0D0D0D" w:themeColor="text1" w:themeTint="F2"/>
          <w:kern w:val="24"/>
          <w:sz w:val="24"/>
          <w:szCs w:val="24"/>
          <w:lang w:val="en-US"/>
        </w:rPr>
        <w:t xml:space="preserve">New consensus conference. </w:t>
      </w:r>
    </w:p>
    <w:p w:rsidR="00FA5090" w:rsidRPr="00FA5090" w:rsidRDefault="00FA5090" w:rsidP="00FA5090">
      <w:pPr>
        <w:rPr>
          <w:rFonts w:cstheme="minorHAnsi"/>
          <w:color w:val="0D0D0D" w:themeColor="text1" w:themeTint="F2"/>
          <w:sz w:val="24"/>
          <w:szCs w:val="24"/>
          <w:lang w:val="en-US"/>
        </w:rPr>
      </w:pPr>
    </w:p>
    <w:sectPr w:rsidR="00FA5090" w:rsidRPr="00FA5090" w:rsidSect="00684EE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84E51"/>
    <w:multiLevelType w:val="hybridMultilevel"/>
    <w:tmpl w:val="D706BEC0"/>
    <w:lvl w:ilvl="0" w:tplc="B87E38F0">
      <w:start w:val="44"/>
      <w:numFmt w:val="bullet"/>
      <w:lvlText w:val=""/>
      <w:lvlJc w:val="left"/>
      <w:pPr>
        <w:ind w:left="720" w:hanging="360"/>
      </w:pPr>
      <w:rPr>
        <w:rFonts w:ascii="Wingdings" w:eastAsiaTheme="majorEastAsia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A3908"/>
    <w:multiLevelType w:val="hybridMultilevel"/>
    <w:tmpl w:val="56DED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21BE7"/>
    <w:multiLevelType w:val="hybridMultilevel"/>
    <w:tmpl w:val="522CE118"/>
    <w:lvl w:ilvl="0" w:tplc="E42E39DE">
      <w:start w:val="44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90"/>
    <w:rsid w:val="00016A12"/>
    <w:rsid w:val="000B101F"/>
    <w:rsid w:val="00112E3E"/>
    <w:rsid w:val="001440D4"/>
    <w:rsid w:val="00243533"/>
    <w:rsid w:val="00252119"/>
    <w:rsid w:val="00582F6A"/>
    <w:rsid w:val="005D15DC"/>
    <w:rsid w:val="00601331"/>
    <w:rsid w:val="00684EE5"/>
    <w:rsid w:val="006B6DA4"/>
    <w:rsid w:val="007550BA"/>
    <w:rsid w:val="007718EB"/>
    <w:rsid w:val="00847076"/>
    <w:rsid w:val="008720B0"/>
    <w:rsid w:val="009A4F19"/>
    <w:rsid w:val="00A00646"/>
    <w:rsid w:val="00B22DD1"/>
    <w:rsid w:val="00C54C6F"/>
    <w:rsid w:val="00CC5F1F"/>
    <w:rsid w:val="00D3683B"/>
    <w:rsid w:val="00F97EB3"/>
    <w:rsid w:val="00FA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774FA-B1CA-4158-ACAD-F3A0A9FA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qFormat/>
    <w:rsid w:val="00A00646"/>
    <w:rPr>
      <w:rFonts w:asciiTheme="majorHAnsi" w:hAnsiTheme="majorHAnsi"/>
      <w:color w:val="1F4E79" w:themeColor="accent1" w:themeShade="80"/>
      <w:u w:val="single"/>
    </w:rPr>
  </w:style>
  <w:style w:type="character" w:customStyle="1" w:styleId="FormatvorlageHyperlinkAutomatisch">
    <w:name w:val="Formatvorlage Hyperlink + Automatisch"/>
    <w:basedOn w:val="Hyperlink"/>
    <w:rsid w:val="00A00646"/>
    <w:rPr>
      <w:rFonts w:asciiTheme="minorHAnsi" w:hAnsiTheme="minorHAnsi"/>
      <w:color w:val="002060"/>
      <w:u w:val="single"/>
    </w:rPr>
  </w:style>
  <w:style w:type="paragraph" w:styleId="Listenabsatz">
    <w:name w:val="List Paragraph"/>
    <w:basedOn w:val="Standard"/>
    <w:uiPriority w:val="34"/>
    <w:qFormat/>
    <w:rsid w:val="00C54C6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C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5F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5F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5F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5F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5F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9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Schrading</dc:creator>
  <cp:keywords/>
  <dc:description/>
  <cp:lastModifiedBy>Schrading</cp:lastModifiedBy>
  <cp:revision>2</cp:revision>
  <dcterms:created xsi:type="dcterms:W3CDTF">2022-02-21T22:42:00Z</dcterms:created>
  <dcterms:modified xsi:type="dcterms:W3CDTF">2022-02-21T22:42:00Z</dcterms:modified>
</cp:coreProperties>
</file>